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BE94" w14:textId="7874D3E1" w:rsidR="009A278D" w:rsidRDefault="009A278D" w:rsidP="009A278D">
      <w:pPr>
        <w:spacing w:after="0"/>
        <w:jc w:val="center"/>
        <w:rPr>
          <w:rFonts w:ascii="Times New Roman" w:eastAsia="Calibri" w:hAnsi="Times New Roman" w:cs="Times New Roman"/>
        </w:rPr>
      </w:pPr>
      <w:r w:rsidRPr="000E1318">
        <w:rPr>
          <w:rFonts w:ascii="Times New Roman" w:eastAsia="Calibri" w:hAnsi="Times New Roman" w:cs="Times New Roman"/>
          <w:highlight w:val="yellow"/>
        </w:rPr>
        <w:t>[Letterhead]</w:t>
      </w:r>
    </w:p>
    <w:p w14:paraId="7F884FD7" w14:textId="77777777" w:rsidR="009A278D" w:rsidRDefault="009A278D" w:rsidP="007D18CC">
      <w:pPr>
        <w:spacing w:after="0"/>
        <w:jc w:val="both"/>
        <w:rPr>
          <w:rFonts w:ascii="Times New Roman" w:eastAsia="Calibri" w:hAnsi="Times New Roman" w:cs="Times New Roman"/>
        </w:rPr>
      </w:pPr>
    </w:p>
    <w:p w14:paraId="6149FCD4" w14:textId="14BF0750" w:rsidR="00324703" w:rsidRPr="00324703" w:rsidRDefault="00324703" w:rsidP="007D18CC">
      <w:pPr>
        <w:spacing w:after="0"/>
        <w:jc w:val="both"/>
        <w:rPr>
          <w:rFonts w:ascii="Times New Roman" w:eastAsia="Calibri" w:hAnsi="Times New Roman" w:cs="Times New Roman"/>
        </w:rPr>
      </w:pPr>
      <w:r w:rsidRPr="000E1318">
        <w:rPr>
          <w:rFonts w:ascii="Times New Roman" w:eastAsia="Calibri" w:hAnsi="Times New Roman" w:cs="Times New Roman"/>
          <w:highlight w:val="yellow"/>
        </w:rPr>
        <w:t>[Date]</w:t>
      </w:r>
    </w:p>
    <w:p w14:paraId="228947BF" w14:textId="77777777" w:rsidR="00324703" w:rsidRPr="00324703" w:rsidRDefault="00324703" w:rsidP="007D18CC">
      <w:pPr>
        <w:spacing w:after="0"/>
        <w:jc w:val="both"/>
        <w:rPr>
          <w:rFonts w:ascii="Times New Roman" w:eastAsia="Calibri" w:hAnsi="Times New Roman" w:cs="Times New Roman"/>
        </w:rPr>
      </w:pPr>
    </w:p>
    <w:p w14:paraId="0E7057DA" w14:textId="3D7CFEBA" w:rsidR="00324703" w:rsidRDefault="00324703" w:rsidP="007D18CC">
      <w:pPr>
        <w:spacing w:after="0"/>
        <w:jc w:val="both"/>
        <w:rPr>
          <w:rFonts w:ascii="Times New Roman" w:eastAsia="Calibri" w:hAnsi="Times New Roman" w:cs="Times New Roman"/>
        </w:rPr>
      </w:pPr>
    </w:p>
    <w:p w14:paraId="7F450207" w14:textId="70894DA4" w:rsidR="00981145" w:rsidRPr="003E402A" w:rsidRDefault="009A278D" w:rsidP="007D18CC">
      <w:pPr>
        <w:spacing w:after="0"/>
        <w:jc w:val="both"/>
        <w:rPr>
          <w:rFonts w:ascii="Times New Roman" w:eastAsia="Calibri" w:hAnsi="Times New Roman" w:cs="Times New Roman"/>
        </w:rPr>
      </w:pPr>
      <w:r w:rsidRPr="003E402A">
        <w:rPr>
          <w:rFonts w:ascii="Times New Roman" w:eastAsia="Calibri" w:hAnsi="Times New Roman" w:cs="Times New Roman"/>
        </w:rPr>
        <w:t xml:space="preserve">Hon. Chief Justice </w:t>
      </w:r>
      <w:proofErr w:type="spellStart"/>
      <w:r w:rsidRPr="003E402A">
        <w:rPr>
          <w:rFonts w:ascii="Times New Roman" w:eastAsia="Calibri" w:hAnsi="Times New Roman" w:cs="Times New Roman"/>
        </w:rPr>
        <w:t>Tani</w:t>
      </w:r>
      <w:proofErr w:type="spellEnd"/>
      <w:r w:rsidRPr="003E402A">
        <w:rPr>
          <w:rFonts w:ascii="Times New Roman" w:eastAsia="Calibri" w:hAnsi="Times New Roman" w:cs="Times New Roman"/>
        </w:rPr>
        <w:t xml:space="preserve"> Cantil-</w:t>
      </w:r>
      <w:proofErr w:type="spellStart"/>
      <w:r w:rsidRPr="003E402A">
        <w:rPr>
          <w:rFonts w:ascii="Times New Roman" w:eastAsia="Calibri" w:hAnsi="Times New Roman" w:cs="Times New Roman"/>
        </w:rPr>
        <w:t>Sakauye</w:t>
      </w:r>
      <w:proofErr w:type="spellEnd"/>
      <w:r w:rsidRPr="003E402A">
        <w:rPr>
          <w:rFonts w:ascii="Times New Roman" w:eastAsia="Calibri" w:hAnsi="Times New Roman" w:cs="Times New Roman"/>
        </w:rPr>
        <w:t xml:space="preserve"> and Associate Justices</w:t>
      </w:r>
    </w:p>
    <w:p w14:paraId="7AF8DDF7" w14:textId="6719E332" w:rsidR="00981145" w:rsidRPr="003E402A" w:rsidRDefault="009A278D" w:rsidP="007D18CC">
      <w:pPr>
        <w:spacing w:after="0"/>
        <w:jc w:val="both"/>
        <w:rPr>
          <w:rFonts w:ascii="Times New Roman" w:eastAsia="Calibri" w:hAnsi="Times New Roman" w:cs="Times New Roman"/>
        </w:rPr>
      </w:pPr>
      <w:r w:rsidRPr="003E402A">
        <w:rPr>
          <w:rFonts w:ascii="Times New Roman" w:eastAsia="Calibri" w:hAnsi="Times New Roman" w:cs="Times New Roman"/>
        </w:rPr>
        <w:t>Supreme Court of California</w:t>
      </w:r>
    </w:p>
    <w:p w14:paraId="672DF1C5" w14:textId="4A570BE8" w:rsidR="009A278D" w:rsidRPr="003E402A" w:rsidRDefault="009A278D" w:rsidP="007D18CC">
      <w:pPr>
        <w:spacing w:after="0"/>
        <w:jc w:val="both"/>
        <w:rPr>
          <w:rFonts w:ascii="Times New Roman" w:eastAsia="Calibri" w:hAnsi="Times New Roman" w:cs="Times New Roman"/>
        </w:rPr>
      </w:pPr>
      <w:r w:rsidRPr="003E402A">
        <w:rPr>
          <w:rFonts w:ascii="Times New Roman" w:eastAsia="Calibri" w:hAnsi="Times New Roman" w:cs="Times New Roman"/>
        </w:rPr>
        <w:t>350 McAllister Street</w:t>
      </w:r>
    </w:p>
    <w:p w14:paraId="08708E4A" w14:textId="2B2045A3" w:rsidR="009A278D" w:rsidRPr="003E402A" w:rsidRDefault="009A278D" w:rsidP="007D18CC">
      <w:pPr>
        <w:spacing w:after="0"/>
        <w:jc w:val="both"/>
        <w:rPr>
          <w:rFonts w:ascii="Times New Roman" w:eastAsia="Calibri" w:hAnsi="Times New Roman" w:cs="Times New Roman"/>
        </w:rPr>
      </w:pPr>
      <w:r w:rsidRPr="003E402A">
        <w:rPr>
          <w:rFonts w:ascii="Times New Roman" w:eastAsia="Calibri" w:hAnsi="Times New Roman" w:cs="Times New Roman"/>
        </w:rPr>
        <w:t>San Francisco, CA 94102</w:t>
      </w:r>
    </w:p>
    <w:p w14:paraId="61196646" w14:textId="77777777" w:rsidR="00981145" w:rsidRPr="00324703" w:rsidRDefault="00981145" w:rsidP="007D18CC">
      <w:pPr>
        <w:spacing w:after="0"/>
        <w:jc w:val="both"/>
        <w:rPr>
          <w:rFonts w:ascii="Times New Roman" w:eastAsia="Calibri" w:hAnsi="Times New Roman" w:cs="Times New Roman"/>
        </w:rPr>
      </w:pPr>
    </w:p>
    <w:p w14:paraId="3D952A1B" w14:textId="09507B6B" w:rsidR="007D18CC" w:rsidRDefault="007D18CC" w:rsidP="007D18CC">
      <w:pPr>
        <w:spacing w:after="0"/>
        <w:jc w:val="both"/>
        <w:rPr>
          <w:rFonts w:ascii="Times New Roman" w:eastAsia="Calibri" w:hAnsi="Times New Roman" w:cs="Times New Roman"/>
          <w:b/>
          <w:bCs/>
        </w:rPr>
      </w:pPr>
      <w:r w:rsidRPr="00E11F05">
        <w:rPr>
          <w:rFonts w:ascii="Times New Roman" w:eastAsia="Calibri" w:hAnsi="Times New Roman" w:cs="Times New Roman"/>
          <w:b/>
          <w:bCs/>
          <w:i/>
          <w:iCs/>
        </w:rPr>
        <w:t>Re:</w:t>
      </w:r>
      <w:r w:rsidRPr="00E11F05">
        <w:rPr>
          <w:rFonts w:ascii="Times New Roman" w:eastAsia="Calibri" w:hAnsi="Times New Roman" w:cs="Times New Roman"/>
          <w:b/>
          <w:bCs/>
          <w:i/>
          <w:iCs/>
        </w:rPr>
        <w:tab/>
      </w:r>
      <w:proofErr w:type="spellStart"/>
      <w:r w:rsidR="009A278D">
        <w:rPr>
          <w:rFonts w:ascii="Times New Roman" w:eastAsia="Calibri" w:hAnsi="Times New Roman" w:cs="Times New Roman"/>
          <w:b/>
          <w:bCs/>
          <w:i/>
          <w:iCs/>
        </w:rPr>
        <w:t>Honchariw</w:t>
      </w:r>
      <w:proofErr w:type="spellEnd"/>
      <w:r w:rsidR="009A278D">
        <w:rPr>
          <w:rFonts w:ascii="Times New Roman" w:eastAsia="Calibri" w:hAnsi="Times New Roman" w:cs="Times New Roman"/>
          <w:b/>
          <w:bCs/>
          <w:i/>
          <w:iCs/>
        </w:rPr>
        <w:t xml:space="preserve"> v. FJM Private Mortgage Fund, et al.</w:t>
      </w:r>
      <w:r w:rsidR="009A278D">
        <w:rPr>
          <w:rFonts w:ascii="Times New Roman" w:eastAsia="Calibri" w:hAnsi="Times New Roman" w:cs="Times New Roman"/>
          <w:b/>
          <w:bCs/>
        </w:rPr>
        <w:t>, S277159</w:t>
      </w:r>
    </w:p>
    <w:p w14:paraId="6F9B643A" w14:textId="42A46532" w:rsidR="009A278D" w:rsidRPr="009A278D" w:rsidRDefault="009A278D" w:rsidP="007D18CC">
      <w:pPr>
        <w:spacing w:after="0"/>
        <w:jc w:val="both"/>
        <w:rPr>
          <w:rFonts w:ascii="Times New Roman" w:eastAsia="Calibri" w:hAnsi="Times New Roman" w:cs="Times New Roman"/>
          <w:b/>
          <w:bCs/>
        </w:rPr>
      </w:pPr>
      <w:r>
        <w:rPr>
          <w:rFonts w:ascii="Times New Roman" w:eastAsia="Calibri" w:hAnsi="Times New Roman" w:cs="Times New Roman"/>
          <w:b/>
          <w:bCs/>
        </w:rPr>
        <w:tab/>
        <w:t>Amicus Letter in Support of Petition for Review Cal. R. Ct. rule 8.500(g)</w:t>
      </w:r>
      <w:r w:rsidR="00F65AB4">
        <w:rPr>
          <w:rFonts w:ascii="Times New Roman" w:eastAsia="Calibri" w:hAnsi="Times New Roman" w:cs="Times New Roman"/>
          <w:b/>
          <w:bCs/>
        </w:rPr>
        <w:t>.</w:t>
      </w:r>
    </w:p>
    <w:p w14:paraId="24088A79" w14:textId="28A71198" w:rsidR="00E11F05" w:rsidRDefault="00E11F05" w:rsidP="007D18CC">
      <w:pPr>
        <w:spacing w:after="0"/>
        <w:jc w:val="both"/>
        <w:rPr>
          <w:rFonts w:ascii="Times New Roman" w:eastAsia="Calibri" w:hAnsi="Times New Roman" w:cs="Times New Roman"/>
        </w:rPr>
      </w:pPr>
    </w:p>
    <w:p w14:paraId="2C5AAFDD" w14:textId="77777777" w:rsidR="00B54DAB" w:rsidRDefault="00B54DAB" w:rsidP="007D18CC">
      <w:pPr>
        <w:spacing w:after="0"/>
        <w:jc w:val="both"/>
        <w:rPr>
          <w:rFonts w:ascii="Times New Roman" w:eastAsia="Calibri" w:hAnsi="Times New Roman" w:cs="Times New Roman"/>
        </w:rPr>
      </w:pPr>
    </w:p>
    <w:p w14:paraId="1A3CCFB4" w14:textId="09927EF4" w:rsidR="00E11F05" w:rsidRDefault="00E11F05" w:rsidP="00494072">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Dear </w:t>
      </w:r>
      <w:r w:rsidR="003E402A">
        <w:rPr>
          <w:rFonts w:ascii="Times New Roman" w:eastAsia="Calibri" w:hAnsi="Times New Roman" w:cs="Times New Roman"/>
        </w:rPr>
        <w:t>Chief Justice and Associate Justices</w:t>
      </w:r>
      <w:r w:rsidR="008D4D42">
        <w:rPr>
          <w:rFonts w:ascii="Times New Roman" w:eastAsia="Calibri" w:hAnsi="Times New Roman" w:cs="Times New Roman"/>
        </w:rPr>
        <w:t>:</w:t>
      </w:r>
    </w:p>
    <w:p w14:paraId="4BA599D6" w14:textId="2B0B909E" w:rsidR="00E11F05" w:rsidRDefault="00E11F05" w:rsidP="00494072">
      <w:pPr>
        <w:spacing w:after="0" w:line="240" w:lineRule="auto"/>
        <w:jc w:val="both"/>
        <w:rPr>
          <w:rFonts w:ascii="Times New Roman" w:eastAsia="Calibri" w:hAnsi="Times New Roman" w:cs="Times New Roman"/>
        </w:rPr>
      </w:pPr>
    </w:p>
    <w:p w14:paraId="4B54D6E9" w14:textId="04B7AAEF" w:rsidR="00543FA2" w:rsidRDefault="003E402A" w:rsidP="00543FA2">
      <w:pPr>
        <w:spacing w:after="0" w:line="240" w:lineRule="auto"/>
        <w:rPr>
          <w:rFonts w:ascii="Times New Roman" w:eastAsia="Calibri" w:hAnsi="Times New Roman" w:cs="Times New Roman"/>
        </w:rPr>
      </w:pPr>
      <w:r w:rsidRPr="000E1318">
        <w:rPr>
          <w:rFonts w:ascii="Times New Roman" w:eastAsia="Calibri" w:hAnsi="Times New Roman" w:cs="Times New Roman"/>
          <w:highlight w:val="yellow"/>
        </w:rPr>
        <w:t>[Name of Business]</w:t>
      </w:r>
      <w:r>
        <w:rPr>
          <w:rFonts w:ascii="Times New Roman" w:eastAsia="Calibri" w:hAnsi="Times New Roman" w:cs="Times New Roman"/>
        </w:rPr>
        <w:t xml:space="preserve"> does hereby submit this amicus letter pursuant to California Rules of Court rule 8.500(g) in support of the petitioners above referenced petition for review</w:t>
      </w:r>
      <w:r w:rsidR="00F65AB4">
        <w:rPr>
          <w:rFonts w:ascii="Times New Roman" w:eastAsia="Calibri" w:hAnsi="Times New Roman" w:cs="Times New Roman"/>
        </w:rPr>
        <w:t>.</w:t>
      </w:r>
    </w:p>
    <w:p w14:paraId="1FA60B4A" w14:textId="400BC65D" w:rsidR="003E402A" w:rsidRDefault="003E402A" w:rsidP="00543FA2">
      <w:pPr>
        <w:spacing w:after="0" w:line="240" w:lineRule="auto"/>
        <w:rPr>
          <w:rFonts w:ascii="Times New Roman" w:eastAsia="Calibri" w:hAnsi="Times New Roman" w:cs="Times New Roman"/>
        </w:rPr>
      </w:pPr>
    </w:p>
    <w:p w14:paraId="1EC5A545" w14:textId="0A7DBB8E" w:rsidR="003E402A" w:rsidRPr="00B60D55" w:rsidRDefault="003E402A" w:rsidP="003E402A">
      <w:pPr>
        <w:spacing w:after="0" w:line="240" w:lineRule="auto"/>
        <w:jc w:val="center"/>
        <w:rPr>
          <w:rFonts w:ascii="Times New Roman" w:eastAsia="Calibri" w:hAnsi="Times New Roman" w:cs="Times New Roman"/>
          <w:b/>
          <w:bCs/>
        </w:rPr>
      </w:pPr>
      <w:r w:rsidRPr="00B60D55">
        <w:rPr>
          <w:rFonts w:ascii="Times New Roman" w:eastAsia="Calibri" w:hAnsi="Times New Roman" w:cs="Times New Roman"/>
          <w:b/>
          <w:bCs/>
        </w:rPr>
        <w:t>Interest of Amicus Curiae</w:t>
      </w:r>
    </w:p>
    <w:p w14:paraId="1490E14C" w14:textId="151FE89E" w:rsidR="003E402A" w:rsidRDefault="003E402A" w:rsidP="003E402A">
      <w:pPr>
        <w:spacing w:after="0" w:line="240" w:lineRule="auto"/>
        <w:jc w:val="center"/>
        <w:rPr>
          <w:rFonts w:ascii="Times New Roman" w:eastAsia="Calibri" w:hAnsi="Times New Roman" w:cs="Times New Roman"/>
        </w:rPr>
      </w:pPr>
    </w:p>
    <w:p w14:paraId="042BBE3C" w14:textId="36647E26" w:rsidR="003E402A" w:rsidRDefault="003E402A" w:rsidP="003E402A">
      <w:pPr>
        <w:spacing w:after="0" w:line="240" w:lineRule="auto"/>
        <w:rPr>
          <w:rFonts w:ascii="Times New Roman" w:eastAsia="Calibri" w:hAnsi="Times New Roman" w:cs="Times New Roman"/>
        </w:rPr>
      </w:pPr>
      <w:r w:rsidRPr="000E1318">
        <w:rPr>
          <w:rFonts w:ascii="Times New Roman" w:eastAsia="Calibri" w:hAnsi="Times New Roman" w:cs="Times New Roman"/>
          <w:highlight w:val="yellow"/>
        </w:rPr>
        <w:t>[Explanation of nature of your business, particularly in California]</w:t>
      </w:r>
      <w:r>
        <w:rPr>
          <w:rFonts w:ascii="Times New Roman" w:eastAsia="Calibri" w:hAnsi="Times New Roman" w:cs="Times New Roman"/>
        </w:rPr>
        <w:t xml:space="preserve">.  As such, we are directly impacted by the </w:t>
      </w:r>
      <w:proofErr w:type="spellStart"/>
      <w:r w:rsidRPr="003E402A">
        <w:rPr>
          <w:rFonts w:ascii="Times New Roman" w:eastAsia="Calibri" w:hAnsi="Times New Roman" w:cs="Times New Roman"/>
          <w:i/>
          <w:iCs/>
        </w:rPr>
        <w:t>Honchariw</w:t>
      </w:r>
      <w:proofErr w:type="spellEnd"/>
      <w:r>
        <w:rPr>
          <w:rFonts w:ascii="Times New Roman" w:eastAsia="Calibri" w:hAnsi="Times New Roman" w:cs="Times New Roman"/>
        </w:rPr>
        <w:t xml:space="preserve"> ruling in the First Appellate District; limiting or completely restricting the use </w:t>
      </w:r>
      <w:r w:rsidR="00F65AB4">
        <w:rPr>
          <w:rFonts w:ascii="Times New Roman" w:eastAsia="Calibri" w:hAnsi="Times New Roman" w:cs="Times New Roman"/>
        </w:rPr>
        <w:t xml:space="preserve">and collection of </w:t>
      </w:r>
      <w:r>
        <w:rPr>
          <w:rFonts w:ascii="Times New Roman" w:eastAsia="Calibri" w:hAnsi="Times New Roman" w:cs="Times New Roman"/>
        </w:rPr>
        <w:t>reasonably calculated and bargained</w:t>
      </w:r>
      <w:r w:rsidR="00B60D55">
        <w:rPr>
          <w:rFonts w:ascii="Times New Roman" w:eastAsia="Calibri" w:hAnsi="Times New Roman" w:cs="Times New Roman"/>
        </w:rPr>
        <w:t>-</w:t>
      </w:r>
      <w:r>
        <w:rPr>
          <w:rFonts w:ascii="Times New Roman" w:eastAsia="Calibri" w:hAnsi="Times New Roman" w:cs="Times New Roman"/>
        </w:rPr>
        <w:t>for interest upon default.</w:t>
      </w:r>
    </w:p>
    <w:p w14:paraId="6934D44E" w14:textId="2AC196B8" w:rsidR="00B60D55" w:rsidRPr="00B60D55" w:rsidRDefault="00B60D55" w:rsidP="003E402A">
      <w:pPr>
        <w:spacing w:after="0" w:line="240" w:lineRule="auto"/>
        <w:rPr>
          <w:rFonts w:ascii="Times New Roman" w:eastAsia="Calibri" w:hAnsi="Times New Roman" w:cs="Times New Roman"/>
          <w:b/>
          <w:bCs/>
        </w:rPr>
      </w:pPr>
    </w:p>
    <w:p w14:paraId="5FBFD746" w14:textId="7AADA9AD" w:rsidR="00B60D55" w:rsidRPr="00B60D55" w:rsidRDefault="00B60D55" w:rsidP="00B60D55">
      <w:pPr>
        <w:spacing w:after="0" w:line="240" w:lineRule="auto"/>
        <w:jc w:val="center"/>
        <w:rPr>
          <w:rFonts w:ascii="Times New Roman" w:eastAsia="Calibri" w:hAnsi="Times New Roman" w:cs="Times New Roman"/>
          <w:b/>
          <w:bCs/>
        </w:rPr>
      </w:pPr>
      <w:r w:rsidRPr="00B60D55">
        <w:rPr>
          <w:rFonts w:ascii="Times New Roman" w:eastAsia="Calibri" w:hAnsi="Times New Roman" w:cs="Times New Roman"/>
          <w:b/>
          <w:bCs/>
        </w:rPr>
        <w:t>Good Cause for Granting Review</w:t>
      </w:r>
    </w:p>
    <w:p w14:paraId="73533F51" w14:textId="2161F4ED" w:rsidR="00B60D55" w:rsidRDefault="00B60D55" w:rsidP="00B60D55">
      <w:pPr>
        <w:spacing w:after="0" w:line="240" w:lineRule="auto"/>
        <w:jc w:val="center"/>
        <w:rPr>
          <w:rFonts w:ascii="Times New Roman" w:eastAsia="Calibri" w:hAnsi="Times New Roman" w:cs="Times New Roman"/>
        </w:rPr>
      </w:pPr>
    </w:p>
    <w:p w14:paraId="0A103157" w14:textId="151CFBB7" w:rsidR="00B60D55" w:rsidRPr="00B60D55" w:rsidRDefault="00B60D55" w:rsidP="00B60D55">
      <w:pPr>
        <w:spacing w:line="256" w:lineRule="auto"/>
        <w:rPr>
          <w:rFonts w:ascii="Times New Roman" w:eastAsia="Calibri" w:hAnsi="Times New Roman" w:cs="Times New Roman"/>
          <w:color w:val="000000"/>
        </w:rPr>
      </w:pPr>
      <w:r w:rsidRPr="00B60D55">
        <w:rPr>
          <w:rFonts w:ascii="Times New Roman" w:eastAsia="Calibri" w:hAnsi="Times New Roman" w:cs="Times New Roman"/>
          <w:color w:val="000000"/>
        </w:rPr>
        <w:t xml:space="preserve">The unusual holding of this case provides no lender may charge default interest against the </w:t>
      </w:r>
      <w:r w:rsidRPr="00B60D55">
        <w:rPr>
          <w:rFonts w:ascii="Times New Roman" w:eastAsia="Calibri" w:hAnsi="Times New Roman" w:cs="Times New Roman"/>
          <w:b/>
          <w:bCs/>
          <w:color w:val="000000"/>
        </w:rPr>
        <w:t>principal balance</w:t>
      </w:r>
      <w:r w:rsidRPr="00B60D55">
        <w:rPr>
          <w:rFonts w:ascii="Times New Roman" w:eastAsia="Calibri" w:hAnsi="Times New Roman" w:cs="Times New Roman"/>
          <w:color w:val="000000"/>
        </w:rPr>
        <w:t xml:space="preserve"> of a loan when the only default is an installment payment default and not a maturity payment default</w:t>
      </w:r>
      <w:r w:rsidR="00612EBF">
        <w:rPr>
          <w:rFonts w:ascii="Times New Roman" w:eastAsia="Calibri" w:hAnsi="Times New Roman" w:cs="Times New Roman"/>
          <w:color w:val="000000"/>
        </w:rPr>
        <w:t xml:space="preserve"> in a </w:t>
      </w:r>
      <w:r w:rsidR="00612EBF" w:rsidRPr="00612EBF">
        <w:rPr>
          <w:rFonts w:ascii="Times New Roman" w:eastAsia="Calibri" w:hAnsi="Times New Roman" w:cs="Times New Roman"/>
          <w:b/>
          <w:bCs/>
          <w:color w:val="000000"/>
        </w:rPr>
        <w:t>commercial loan</w:t>
      </w:r>
      <w:r w:rsidRPr="00B60D55">
        <w:rPr>
          <w:rFonts w:ascii="Times New Roman" w:eastAsia="Calibri" w:hAnsi="Times New Roman" w:cs="Times New Roman"/>
          <w:color w:val="000000"/>
        </w:rPr>
        <w:t xml:space="preserve">. </w:t>
      </w:r>
    </w:p>
    <w:p w14:paraId="649D8143" w14:textId="4457EECE" w:rsidR="00B60D55" w:rsidRPr="00B60D55" w:rsidRDefault="00612EBF" w:rsidP="00B60D55">
      <w:pPr>
        <w:spacing w:line="256" w:lineRule="auto"/>
        <w:rPr>
          <w:rFonts w:ascii="Times New Roman" w:eastAsia="Calibri" w:hAnsi="Times New Roman" w:cs="Times New Roman"/>
          <w:color w:val="000000"/>
        </w:rPr>
      </w:pPr>
      <w:r>
        <w:rPr>
          <w:rFonts w:ascii="Times New Roman" w:eastAsia="Calibri" w:hAnsi="Times New Roman" w:cs="Times New Roman"/>
          <w:color w:val="000000"/>
        </w:rPr>
        <w:t>Civil Code 1671 requires the court the</w:t>
      </w:r>
      <w:r w:rsidR="00B60D55" w:rsidRPr="00B60D55">
        <w:rPr>
          <w:rFonts w:ascii="Times New Roman" w:eastAsia="Calibri" w:hAnsi="Times New Roman" w:cs="Times New Roman"/>
          <w:color w:val="000000"/>
        </w:rPr>
        <w:t xml:space="preserve"> borrower </w:t>
      </w:r>
      <w:r>
        <w:rPr>
          <w:rFonts w:ascii="Times New Roman" w:eastAsia="Calibri" w:hAnsi="Times New Roman" w:cs="Times New Roman"/>
          <w:color w:val="000000"/>
        </w:rPr>
        <w:t>to demonstrate that</w:t>
      </w:r>
      <w:r w:rsidR="00B60D55" w:rsidRPr="00B60D55">
        <w:rPr>
          <w:rFonts w:ascii="Times New Roman" w:eastAsia="Calibri" w:hAnsi="Times New Roman" w:cs="Times New Roman"/>
          <w:color w:val="000000"/>
        </w:rPr>
        <w:t xml:space="preserve"> there is </w:t>
      </w:r>
      <w:r>
        <w:rPr>
          <w:rFonts w:ascii="Times New Roman" w:eastAsia="Calibri" w:hAnsi="Times New Roman" w:cs="Times New Roman"/>
          <w:color w:val="000000"/>
        </w:rPr>
        <w:t>no</w:t>
      </w:r>
      <w:r w:rsidR="00B60D55" w:rsidRPr="00B60D55">
        <w:rPr>
          <w:rFonts w:ascii="Times New Roman" w:eastAsia="Calibri" w:hAnsi="Times New Roman" w:cs="Times New Roman"/>
          <w:color w:val="000000"/>
        </w:rPr>
        <w:t xml:space="preserve"> reasonable relationship between the default interest rate and the lender’s actual harm. </w:t>
      </w:r>
    </w:p>
    <w:p w14:paraId="0974DF01" w14:textId="2025195E" w:rsidR="00B60D55" w:rsidRDefault="00612EBF" w:rsidP="00B60D55">
      <w:pPr>
        <w:spacing w:line="256" w:lineRule="auto"/>
        <w:rPr>
          <w:rFonts w:ascii="Times New Roman" w:eastAsia="Calibri" w:hAnsi="Times New Roman" w:cs="Times New Roman"/>
          <w:color w:val="000000"/>
        </w:rPr>
      </w:pPr>
      <w:r>
        <w:rPr>
          <w:rFonts w:ascii="Times New Roman" w:eastAsia="Calibri" w:hAnsi="Times New Roman" w:cs="Times New Roman"/>
          <w:color w:val="000000"/>
        </w:rPr>
        <w:t xml:space="preserve">Below are a few ways my business is damaged when there is a default by Borrower: </w:t>
      </w:r>
    </w:p>
    <w:p w14:paraId="4A4ADFF9" w14:textId="5B44FFB6" w:rsidR="00612EBF" w:rsidRPr="00612EBF" w:rsidRDefault="00612EBF" w:rsidP="00B60D55">
      <w:pPr>
        <w:spacing w:line="256" w:lineRule="auto"/>
        <w:rPr>
          <w:rFonts w:ascii="Times New Roman" w:eastAsia="Calibri" w:hAnsi="Times New Roman" w:cs="Times New Roman"/>
          <w:color w:val="000000"/>
          <w:highlight w:val="yellow"/>
        </w:rPr>
      </w:pPr>
      <w:r w:rsidRPr="00612EBF">
        <w:rPr>
          <w:rFonts w:ascii="Times New Roman" w:eastAsia="Calibri" w:hAnsi="Times New Roman" w:cs="Times New Roman"/>
          <w:color w:val="000000"/>
          <w:highlight w:val="yellow"/>
        </w:rPr>
        <w:t>[INSERT ONE OR MORE OF THE EXAMPLES BELOW OR OTHERWISE EXPLAIN THE SPECIFIC MONETARY LOSS YOU FACE IF YOUR BORROWER DEFAULTS]</w:t>
      </w:r>
    </w:p>
    <w:p w14:paraId="639BDFE9" w14:textId="75C8BA60" w:rsidR="00B60D55" w:rsidRPr="00612EBF" w:rsidRDefault="00B60D55" w:rsidP="00B60D55">
      <w:pPr>
        <w:numPr>
          <w:ilvl w:val="0"/>
          <w:numId w:val="2"/>
        </w:numPr>
        <w:spacing w:line="256" w:lineRule="auto"/>
        <w:contextualSpacing/>
        <w:rPr>
          <w:rFonts w:ascii="Times New Roman" w:eastAsia="Calibri" w:hAnsi="Times New Roman" w:cs="Times New Roman"/>
          <w:color w:val="000000"/>
          <w:highlight w:val="yellow"/>
        </w:rPr>
      </w:pPr>
      <w:r w:rsidRPr="00612EBF">
        <w:rPr>
          <w:rFonts w:ascii="Times New Roman" w:eastAsia="Calibri" w:hAnsi="Times New Roman" w:cs="Times New Roman"/>
          <w:color w:val="000000"/>
          <w:highlight w:val="yellow"/>
        </w:rPr>
        <w:t xml:space="preserve">Reduction in asset value.  If a lender </w:t>
      </w:r>
      <w:r w:rsidR="00612EBF">
        <w:rPr>
          <w:rFonts w:ascii="Times New Roman" w:eastAsia="Calibri" w:hAnsi="Times New Roman" w:cs="Times New Roman"/>
          <w:color w:val="000000"/>
          <w:highlight w:val="yellow"/>
        </w:rPr>
        <w:t>sells</w:t>
      </w:r>
      <w:r w:rsidRPr="00612EBF">
        <w:rPr>
          <w:rFonts w:ascii="Times New Roman" w:eastAsia="Calibri" w:hAnsi="Times New Roman" w:cs="Times New Roman"/>
          <w:color w:val="000000"/>
          <w:highlight w:val="yellow"/>
        </w:rPr>
        <w:t xml:space="preserve"> a non-performing loan, the loan buyer will require a </w:t>
      </w:r>
      <w:r w:rsidR="00612EBF">
        <w:rPr>
          <w:rFonts w:ascii="Times New Roman" w:eastAsia="Calibri" w:hAnsi="Times New Roman" w:cs="Times New Roman"/>
          <w:color w:val="000000"/>
          <w:highlight w:val="yellow"/>
        </w:rPr>
        <w:t xml:space="preserve">significant </w:t>
      </w:r>
      <w:r w:rsidRPr="00612EBF">
        <w:rPr>
          <w:rFonts w:ascii="Times New Roman" w:eastAsia="Calibri" w:hAnsi="Times New Roman" w:cs="Times New Roman"/>
          <w:color w:val="000000"/>
          <w:highlight w:val="yellow"/>
        </w:rPr>
        <w:t>discount o</w:t>
      </w:r>
      <w:r w:rsidR="00612EBF">
        <w:rPr>
          <w:rFonts w:ascii="Times New Roman" w:eastAsia="Calibri" w:hAnsi="Times New Roman" w:cs="Times New Roman"/>
          <w:color w:val="000000"/>
          <w:highlight w:val="yellow"/>
        </w:rPr>
        <w:t>f</w:t>
      </w:r>
      <w:r w:rsidRPr="00612EBF">
        <w:rPr>
          <w:rFonts w:ascii="Times New Roman" w:eastAsia="Calibri" w:hAnsi="Times New Roman" w:cs="Times New Roman"/>
          <w:color w:val="000000"/>
          <w:highlight w:val="yellow"/>
        </w:rPr>
        <w:t xml:space="preserve"> the purchase price, where otherwise a lender may have received par value</w:t>
      </w:r>
      <w:r w:rsidR="00612EBF">
        <w:rPr>
          <w:rFonts w:ascii="Times New Roman" w:eastAsia="Calibri" w:hAnsi="Times New Roman" w:cs="Times New Roman"/>
          <w:color w:val="000000"/>
          <w:highlight w:val="yellow"/>
        </w:rPr>
        <w:t xml:space="preserve"> (value of the loan inclusive of all unpaid interest)</w:t>
      </w:r>
      <w:r w:rsidRPr="00612EBF">
        <w:rPr>
          <w:rFonts w:ascii="Times New Roman" w:eastAsia="Calibri" w:hAnsi="Times New Roman" w:cs="Times New Roman"/>
          <w:color w:val="000000"/>
          <w:highlight w:val="yellow"/>
        </w:rPr>
        <w:t xml:space="preserve"> for a performing loan.</w:t>
      </w:r>
    </w:p>
    <w:p w14:paraId="6DE9D079" w14:textId="3DF4612F" w:rsidR="00B60D55" w:rsidRPr="00612EBF" w:rsidRDefault="00B60D55" w:rsidP="00B60D55">
      <w:pPr>
        <w:numPr>
          <w:ilvl w:val="0"/>
          <w:numId w:val="2"/>
        </w:numPr>
        <w:spacing w:line="256" w:lineRule="auto"/>
        <w:contextualSpacing/>
        <w:rPr>
          <w:rFonts w:ascii="Times New Roman" w:eastAsia="Calibri" w:hAnsi="Times New Roman" w:cs="Times New Roman"/>
          <w:color w:val="000000"/>
          <w:highlight w:val="yellow"/>
        </w:rPr>
      </w:pPr>
      <w:r w:rsidRPr="00612EBF">
        <w:rPr>
          <w:rFonts w:ascii="Times New Roman" w:eastAsia="Calibri" w:hAnsi="Times New Roman" w:cs="Times New Roman"/>
          <w:color w:val="000000"/>
          <w:highlight w:val="yellow"/>
        </w:rPr>
        <w:t xml:space="preserve">Increase in cost of funds. </w:t>
      </w:r>
      <w:r w:rsidR="00612EBF">
        <w:rPr>
          <w:rFonts w:ascii="Times New Roman" w:eastAsia="Calibri" w:hAnsi="Times New Roman" w:cs="Times New Roman"/>
          <w:color w:val="000000"/>
          <w:highlight w:val="yellow"/>
        </w:rPr>
        <w:t xml:space="preserve">When I make a loan to my </w:t>
      </w:r>
      <w:proofErr w:type="gramStart"/>
      <w:r w:rsidR="00612EBF">
        <w:rPr>
          <w:rFonts w:ascii="Times New Roman" w:eastAsia="Calibri" w:hAnsi="Times New Roman" w:cs="Times New Roman"/>
          <w:color w:val="000000"/>
          <w:highlight w:val="yellow"/>
        </w:rPr>
        <w:t>borrowers</w:t>
      </w:r>
      <w:proofErr w:type="gramEnd"/>
      <w:r w:rsidR="00612EBF">
        <w:rPr>
          <w:rFonts w:ascii="Times New Roman" w:eastAsia="Calibri" w:hAnsi="Times New Roman" w:cs="Times New Roman"/>
          <w:color w:val="000000"/>
          <w:highlight w:val="yellow"/>
        </w:rPr>
        <w:t xml:space="preserve"> I may place those loans on a line of credit where I pledge my loan as collateral to my warehouse line of credit bank.</w:t>
      </w:r>
      <w:r w:rsidRPr="00612EBF">
        <w:rPr>
          <w:rFonts w:ascii="Times New Roman" w:eastAsia="Calibri" w:hAnsi="Times New Roman" w:cs="Times New Roman"/>
          <w:color w:val="000000"/>
          <w:highlight w:val="yellow"/>
        </w:rPr>
        <w:t xml:space="preserve"> </w:t>
      </w:r>
      <w:r w:rsidR="00612EBF">
        <w:rPr>
          <w:rFonts w:ascii="Times New Roman" w:eastAsia="Calibri" w:hAnsi="Times New Roman" w:cs="Times New Roman"/>
          <w:color w:val="000000"/>
          <w:highlight w:val="yellow"/>
        </w:rPr>
        <w:t>My w</w:t>
      </w:r>
      <w:r w:rsidRPr="00612EBF">
        <w:rPr>
          <w:rFonts w:ascii="Times New Roman" w:eastAsia="Calibri" w:hAnsi="Times New Roman" w:cs="Times New Roman"/>
          <w:color w:val="000000"/>
          <w:highlight w:val="yellow"/>
        </w:rPr>
        <w:t xml:space="preserve">arehouse lenders require </w:t>
      </w:r>
      <w:r w:rsidR="00612EBF">
        <w:rPr>
          <w:rFonts w:ascii="Times New Roman" w:eastAsia="Calibri" w:hAnsi="Times New Roman" w:cs="Times New Roman"/>
          <w:color w:val="000000"/>
          <w:highlight w:val="yellow"/>
        </w:rPr>
        <w:t>me</w:t>
      </w:r>
      <w:r w:rsidRPr="00612EBF">
        <w:rPr>
          <w:rFonts w:ascii="Times New Roman" w:eastAsia="Calibri" w:hAnsi="Times New Roman" w:cs="Times New Roman"/>
          <w:color w:val="000000"/>
          <w:highlight w:val="yellow"/>
        </w:rPr>
        <w:t xml:space="preserve"> to remove a defaulted loan from </w:t>
      </w:r>
      <w:r w:rsidR="00612EBF">
        <w:rPr>
          <w:rFonts w:ascii="Times New Roman" w:eastAsia="Calibri" w:hAnsi="Times New Roman" w:cs="Times New Roman"/>
          <w:color w:val="000000"/>
          <w:highlight w:val="yellow"/>
        </w:rPr>
        <w:t>the</w:t>
      </w:r>
      <w:r w:rsidRPr="00612EBF">
        <w:rPr>
          <w:rFonts w:ascii="Times New Roman" w:eastAsia="Calibri" w:hAnsi="Times New Roman" w:cs="Times New Roman"/>
          <w:color w:val="000000"/>
          <w:highlight w:val="yellow"/>
        </w:rPr>
        <w:t xml:space="preserve"> line of credit, thereby increasing the cost of funds to </w:t>
      </w:r>
      <w:r w:rsidR="00612EBF">
        <w:rPr>
          <w:rFonts w:ascii="Times New Roman" w:eastAsia="Calibri" w:hAnsi="Times New Roman" w:cs="Times New Roman"/>
          <w:color w:val="000000"/>
          <w:highlight w:val="yellow"/>
        </w:rPr>
        <w:t>me</w:t>
      </w:r>
      <w:r w:rsidRPr="00612EBF">
        <w:rPr>
          <w:rFonts w:ascii="Times New Roman" w:eastAsia="Calibri" w:hAnsi="Times New Roman" w:cs="Times New Roman"/>
          <w:color w:val="000000"/>
          <w:highlight w:val="yellow"/>
        </w:rPr>
        <w:t xml:space="preserve">. </w:t>
      </w:r>
      <w:r w:rsidR="00612EBF">
        <w:rPr>
          <w:rFonts w:ascii="Times New Roman" w:eastAsia="Calibri" w:hAnsi="Times New Roman" w:cs="Times New Roman"/>
          <w:color w:val="000000"/>
          <w:highlight w:val="yellow"/>
        </w:rPr>
        <w:t>I</w:t>
      </w:r>
      <w:r w:rsidRPr="00612EBF">
        <w:rPr>
          <w:rFonts w:ascii="Times New Roman" w:eastAsia="Calibri" w:hAnsi="Times New Roman" w:cs="Times New Roman"/>
          <w:color w:val="000000"/>
          <w:highlight w:val="yellow"/>
        </w:rPr>
        <w:t xml:space="preserve"> was able borrow funds from the warehouse provider at a much lower interest rate than the note rate. The difference between the note rate </w:t>
      </w:r>
      <w:r w:rsidR="00612EBF">
        <w:rPr>
          <w:rFonts w:ascii="Times New Roman" w:eastAsia="Calibri" w:hAnsi="Times New Roman" w:cs="Times New Roman"/>
          <w:color w:val="000000"/>
          <w:highlight w:val="yellow"/>
        </w:rPr>
        <w:t xml:space="preserve">to my borrower </w:t>
      </w:r>
      <w:r w:rsidRPr="00612EBF">
        <w:rPr>
          <w:rFonts w:ascii="Times New Roman" w:eastAsia="Calibri" w:hAnsi="Times New Roman" w:cs="Times New Roman"/>
          <w:color w:val="000000"/>
          <w:highlight w:val="yellow"/>
        </w:rPr>
        <w:t xml:space="preserve">and the warehouse line of credit rate </w:t>
      </w:r>
      <w:r w:rsidR="00612EBF">
        <w:rPr>
          <w:rFonts w:ascii="Times New Roman" w:eastAsia="Calibri" w:hAnsi="Times New Roman" w:cs="Times New Roman"/>
          <w:color w:val="000000"/>
          <w:highlight w:val="yellow"/>
        </w:rPr>
        <w:t>to me is my lost</w:t>
      </w:r>
      <w:r w:rsidRPr="00612EBF">
        <w:rPr>
          <w:rFonts w:ascii="Times New Roman" w:eastAsia="Calibri" w:hAnsi="Times New Roman" w:cs="Times New Roman"/>
          <w:color w:val="000000"/>
          <w:highlight w:val="yellow"/>
        </w:rPr>
        <w:t xml:space="preserve"> profit</w:t>
      </w:r>
      <w:r w:rsidR="00612EBF">
        <w:rPr>
          <w:rFonts w:ascii="Times New Roman" w:eastAsia="Calibri" w:hAnsi="Times New Roman" w:cs="Times New Roman"/>
          <w:color w:val="000000"/>
          <w:highlight w:val="yellow"/>
        </w:rPr>
        <w:t xml:space="preserve"> due to the borrower’s default</w:t>
      </w:r>
      <w:r w:rsidRPr="00612EBF">
        <w:rPr>
          <w:rFonts w:ascii="Times New Roman" w:eastAsia="Calibri" w:hAnsi="Times New Roman" w:cs="Times New Roman"/>
          <w:color w:val="000000"/>
          <w:highlight w:val="yellow"/>
        </w:rPr>
        <w:t xml:space="preserve">. </w:t>
      </w:r>
      <w:r w:rsidR="00612EBF">
        <w:rPr>
          <w:rFonts w:ascii="Times New Roman" w:eastAsia="Calibri" w:hAnsi="Times New Roman" w:cs="Times New Roman"/>
          <w:color w:val="000000"/>
          <w:highlight w:val="yellow"/>
        </w:rPr>
        <w:t xml:space="preserve">Default interest would have defrayed this lost profit. </w:t>
      </w:r>
    </w:p>
    <w:p w14:paraId="3DEFA233" w14:textId="3BCBA01E" w:rsidR="00B60D55" w:rsidRPr="00612EBF" w:rsidRDefault="00B60D55" w:rsidP="00B60D55">
      <w:pPr>
        <w:numPr>
          <w:ilvl w:val="0"/>
          <w:numId w:val="2"/>
        </w:numPr>
        <w:spacing w:line="256" w:lineRule="auto"/>
        <w:contextualSpacing/>
        <w:rPr>
          <w:rFonts w:ascii="Times New Roman" w:eastAsia="Calibri" w:hAnsi="Times New Roman" w:cs="Times New Roman"/>
          <w:color w:val="000000"/>
          <w:highlight w:val="yellow"/>
        </w:rPr>
      </w:pPr>
      <w:r w:rsidRPr="00612EBF">
        <w:rPr>
          <w:rFonts w:ascii="Times New Roman" w:eastAsia="Calibri" w:hAnsi="Times New Roman" w:cs="Times New Roman"/>
          <w:color w:val="000000"/>
          <w:highlight w:val="yellow"/>
        </w:rPr>
        <w:lastRenderedPageBreak/>
        <w:t xml:space="preserve">Loss of use of funds.  While the loan is in default, </w:t>
      </w:r>
      <w:r w:rsidR="00612EBF">
        <w:rPr>
          <w:rFonts w:ascii="Times New Roman" w:eastAsia="Calibri" w:hAnsi="Times New Roman" w:cs="Times New Roman"/>
          <w:color w:val="000000"/>
          <w:highlight w:val="yellow"/>
        </w:rPr>
        <w:t>the</w:t>
      </w:r>
      <w:r w:rsidRPr="00612EBF">
        <w:rPr>
          <w:rFonts w:ascii="Times New Roman" w:eastAsia="Calibri" w:hAnsi="Times New Roman" w:cs="Times New Roman"/>
          <w:color w:val="000000"/>
          <w:highlight w:val="yellow"/>
        </w:rPr>
        <w:t xml:space="preserve"> lender loses the </w:t>
      </w:r>
      <w:r w:rsidR="00612EBF">
        <w:rPr>
          <w:rFonts w:ascii="Times New Roman" w:eastAsia="Calibri" w:hAnsi="Times New Roman" w:cs="Times New Roman"/>
          <w:color w:val="000000"/>
          <w:highlight w:val="yellow"/>
        </w:rPr>
        <w:t>income stream</w:t>
      </w:r>
      <w:r w:rsidRPr="00612EBF">
        <w:rPr>
          <w:rFonts w:ascii="Times New Roman" w:eastAsia="Calibri" w:hAnsi="Times New Roman" w:cs="Times New Roman"/>
          <w:color w:val="000000"/>
          <w:highlight w:val="yellow"/>
        </w:rPr>
        <w:t xml:space="preserve"> during the default, </w:t>
      </w:r>
      <w:proofErr w:type="gramStart"/>
      <w:r w:rsidRPr="00612EBF">
        <w:rPr>
          <w:rFonts w:ascii="Times New Roman" w:eastAsia="Calibri" w:hAnsi="Times New Roman" w:cs="Times New Roman"/>
          <w:color w:val="000000"/>
          <w:highlight w:val="yellow"/>
        </w:rPr>
        <w:t>foreclosure</w:t>
      </w:r>
      <w:proofErr w:type="gramEnd"/>
      <w:r w:rsidRPr="00612EBF">
        <w:rPr>
          <w:rFonts w:ascii="Times New Roman" w:eastAsia="Calibri" w:hAnsi="Times New Roman" w:cs="Times New Roman"/>
          <w:color w:val="000000"/>
          <w:highlight w:val="yellow"/>
        </w:rPr>
        <w:t xml:space="preserve"> and potential sale of the foreclosing property.</w:t>
      </w:r>
      <w:r w:rsidR="00612EBF">
        <w:rPr>
          <w:rFonts w:ascii="Times New Roman" w:eastAsia="Calibri" w:hAnsi="Times New Roman" w:cs="Times New Roman"/>
          <w:color w:val="000000"/>
          <w:highlight w:val="yellow"/>
        </w:rPr>
        <w:t xml:space="preserve"> If this case remains law, I will be forced to proceed to foreclosure for all defaults </w:t>
      </w:r>
      <w:proofErr w:type="gramStart"/>
      <w:r w:rsidR="00612EBF">
        <w:rPr>
          <w:rFonts w:ascii="Times New Roman" w:eastAsia="Calibri" w:hAnsi="Times New Roman" w:cs="Times New Roman"/>
          <w:color w:val="000000"/>
          <w:highlight w:val="yellow"/>
        </w:rPr>
        <w:t>in order to</w:t>
      </w:r>
      <w:proofErr w:type="gramEnd"/>
      <w:r w:rsidR="00612EBF">
        <w:rPr>
          <w:rFonts w:ascii="Times New Roman" w:eastAsia="Calibri" w:hAnsi="Times New Roman" w:cs="Times New Roman"/>
          <w:color w:val="000000"/>
          <w:highlight w:val="yellow"/>
        </w:rPr>
        <w:t xml:space="preserve"> try and receive my principal back as soon as possible rather than negotiating in good faith with the borrower knowing I will not be compensated through default interest.</w:t>
      </w:r>
    </w:p>
    <w:p w14:paraId="2D2E5C44" w14:textId="77777777" w:rsidR="00B60D55" w:rsidRPr="00612EBF" w:rsidRDefault="00B60D55" w:rsidP="00B60D55">
      <w:pPr>
        <w:numPr>
          <w:ilvl w:val="0"/>
          <w:numId w:val="2"/>
        </w:numPr>
        <w:spacing w:line="256" w:lineRule="auto"/>
        <w:contextualSpacing/>
        <w:rPr>
          <w:rFonts w:ascii="Times New Roman" w:eastAsia="Calibri" w:hAnsi="Times New Roman" w:cs="Times New Roman"/>
          <w:color w:val="000000"/>
          <w:highlight w:val="yellow"/>
        </w:rPr>
      </w:pPr>
      <w:r w:rsidRPr="00612EBF">
        <w:rPr>
          <w:rFonts w:ascii="Times New Roman" w:eastAsia="Calibri" w:hAnsi="Times New Roman" w:cs="Times New Roman"/>
          <w:color w:val="000000"/>
          <w:highlight w:val="yellow"/>
        </w:rPr>
        <w:t>Increased internal and accounting costs resulting from the default. When a loan defaults a lender must divert their internal resources from other matters to address the default and attempt to obtain the borrower’s reperformance of its obligations. This includes costs of special servicing, diversion of accounting resources, bringing in loan originators or other relationship parties to attempt to communicate with the borrower. The effort will vary depending on circumstances and is difficult and impractical to measure.</w:t>
      </w:r>
    </w:p>
    <w:p w14:paraId="66965918" w14:textId="4E2A43DB" w:rsidR="00B60D55" w:rsidRPr="00612EBF" w:rsidRDefault="00B60D55" w:rsidP="00B60D55">
      <w:pPr>
        <w:numPr>
          <w:ilvl w:val="0"/>
          <w:numId w:val="2"/>
        </w:numPr>
        <w:spacing w:line="256" w:lineRule="auto"/>
        <w:contextualSpacing/>
        <w:rPr>
          <w:rFonts w:ascii="Times New Roman" w:eastAsia="Calibri" w:hAnsi="Times New Roman" w:cs="Times New Roman"/>
          <w:color w:val="000000"/>
          <w:highlight w:val="yellow"/>
        </w:rPr>
      </w:pPr>
      <w:r w:rsidRPr="00612EBF">
        <w:rPr>
          <w:rFonts w:ascii="Times New Roman" w:eastAsia="Calibri" w:hAnsi="Times New Roman" w:cs="Times New Roman"/>
          <w:color w:val="000000"/>
          <w:highlight w:val="yellow"/>
        </w:rPr>
        <w:t xml:space="preserve">Impact on the ability to attract other investors.  </w:t>
      </w:r>
      <w:r w:rsidR="00612EBF">
        <w:rPr>
          <w:rFonts w:ascii="Times New Roman" w:eastAsia="Calibri" w:hAnsi="Times New Roman" w:cs="Times New Roman"/>
          <w:color w:val="000000"/>
          <w:highlight w:val="yellow"/>
        </w:rPr>
        <w:t xml:space="preserve">I must raise funds from investors and other capital providers to be able to fund and originate loans. My investors and capital providers require I </w:t>
      </w:r>
      <w:r w:rsidRPr="00612EBF">
        <w:rPr>
          <w:rFonts w:ascii="Times New Roman" w:eastAsia="Calibri" w:hAnsi="Times New Roman" w:cs="Times New Roman"/>
          <w:color w:val="000000"/>
          <w:highlight w:val="yellow"/>
        </w:rPr>
        <w:t>disclose delinquency and default rate</w:t>
      </w:r>
      <w:r w:rsidR="00612EBF">
        <w:rPr>
          <w:rFonts w:ascii="Times New Roman" w:eastAsia="Calibri" w:hAnsi="Times New Roman" w:cs="Times New Roman"/>
          <w:color w:val="000000"/>
          <w:highlight w:val="yellow"/>
        </w:rPr>
        <w:t>s to determine the risk of their investment.</w:t>
      </w:r>
      <w:r w:rsidRPr="00612EBF">
        <w:rPr>
          <w:rFonts w:ascii="Times New Roman" w:eastAsia="Calibri" w:hAnsi="Times New Roman" w:cs="Times New Roman"/>
          <w:color w:val="000000"/>
          <w:highlight w:val="yellow"/>
        </w:rPr>
        <w:t xml:space="preserve"> A higher default rate would require a higher yield to attract future investors, but without the ability to charge default interest, it becomes difficult to attract investors to account for the risk. </w:t>
      </w:r>
    </w:p>
    <w:p w14:paraId="4B013DD1" w14:textId="77777777" w:rsidR="00612EBF" w:rsidRDefault="00612EBF" w:rsidP="00B60D55">
      <w:pPr>
        <w:spacing w:line="256" w:lineRule="auto"/>
        <w:rPr>
          <w:rFonts w:ascii="Times New Roman" w:eastAsia="Calibri" w:hAnsi="Times New Roman" w:cs="Times New Roman"/>
          <w:color w:val="000000"/>
        </w:rPr>
      </w:pPr>
    </w:p>
    <w:p w14:paraId="30E4D6FF" w14:textId="336EE020" w:rsidR="00B60D55" w:rsidRPr="00B60D55" w:rsidRDefault="00B60D55" w:rsidP="00B60D55">
      <w:pPr>
        <w:spacing w:line="256" w:lineRule="auto"/>
        <w:rPr>
          <w:rFonts w:ascii="Times New Roman" w:eastAsia="Calibri" w:hAnsi="Times New Roman" w:cs="Times New Roman"/>
          <w:color w:val="000000"/>
        </w:rPr>
      </w:pPr>
      <w:r w:rsidRPr="00B60D55">
        <w:rPr>
          <w:rFonts w:ascii="Times New Roman" w:eastAsia="Calibri" w:hAnsi="Times New Roman" w:cs="Times New Roman"/>
          <w:color w:val="000000"/>
        </w:rPr>
        <w:t xml:space="preserve">These are just a few examples of the harms that lenders </w:t>
      </w:r>
      <w:r w:rsidR="00612EBF">
        <w:rPr>
          <w:rFonts w:ascii="Times New Roman" w:eastAsia="Calibri" w:hAnsi="Times New Roman" w:cs="Times New Roman"/>
          <w:color w:val="000000"/>
        </w:rPr>
        <w:t xml:space="preserve">may </w:t>
      </w:r>
      <w:r w:rsidRPr="00B60D55">
        <w:rPr>
          <w:rFonts w:ascii="Times New Roman" w:eastAsia="Calibri" w:hAnsi="Times New Roman" w:cs="Times New Roman"/>
          <w:color w:val="000000"/>
        </w:rPr>
        <w:t xml:space="preserve">suffer </w:t>
      </w:r>
      <w:proofErr w:type="gramStart"/>
      <w:r w:rsidRPr="00B60D55">
        <w:rPr>
          <w:rFonts w:ascii="Times New Roman" w:eastAsia="Calibri" w:hAnsi="Times New Roman" w:cs="Times New Roman"/>
          <w:color w:val="000000"/>
        </w:rPr>
        <w:t>as a result of</w:t>
      </w:r>
      <w:proofErr w:type="gramEnd"/>
      <w:r w:rsidRPr="00B60D55">
        <w:rPr>
          <w:rFonts w:ascii="Times New Roman" w:eastAsia="Calibri" w:hAnsi="Times New Roman" w:cs="Times New Roman"/>
          <w:color w:val="000000"/>
        </w:rPr>
        <w:t xml:space="preserve"> the borrower’s default.  Since these amounts are hard to ascertain (especially at loan origination), a negotiated default rate is often the only way to compensate the lender for its anticipated loss.</w:t>
      </w:r>
    </w:p>
    <w:p w14:paraId="45FDEE28" w14:textId="77777777" w:rsidR="00B60D55" w:rsidRDefault="00B60D55" w:rsidP="00B60D55">
      <w:pPr>
        <w:spacing w:after="0" w:line="240" w:lineRule="auto"/>
        <w:rPr>
          <w:rFonts w:ascii="Times New Roman" w:eastAsia="Calibri" w:hAnsi="Times New Roman" w:cs="Times New Roman"/>
        </w:rPr>
      </w:pPr>
    </w:p>
    <w:p w14:paraId="2DC6095D" w14:textId="45E101FE" w:rsidR="00B60D55" w:rsidRPr="000E1318" w:rsidRDefault="000E1318" w:rsidP="00B60D55">
      <w:pPr>
        <w:spacing w:after="0" w:line="240" w:lineRule="auto"/>
        <w:jc w:val="center"/>
        <w:rPr>
          <w:rFonts w:ascii="Times New Roman" w:eastAsia="Calibri" w:hAnsi="Times New Roman" w:cs="Times New Roman"/>
          <w:b/>
          <w:bCs/>
        </w:rPr>
      </w:pPr>
      <w:r w:rsidRPr="000E1318">
        <w:rPr>
          <w:rFonts w:ascii="Times New Roman" w:eastAsia="Calibri" w:hAnsi="Times New Roman" w:cs="Times New Roman"/>
          <w:b/>
          <w:bCs/>
        </w:rPr>
        <w:t>Conclusion</w:t>
      </w:r>
    </w:p>
    <w:p w14:paraId="64163787" w14:textId="7D111CFD" w:rsidR="000E1318" w:rsidRDefault="000E1318" w:rsidP="00B60D55">
      <w:pPr>
        <w:spacing w:after="0" w:line="240" w:lineRule="auto"/>
        <w:jc w:val="center"/>
        <w:rPr>
          <w:rFonts w:ascii="Times New Roman" w:eastAsia="Calibri" w:hAnsi="Times New Roman" w:cs="Times New Roman"/>
        </w:rPr>
      </w:pPr>
    </w:p>
    <w:p w14:paraId="69CB26AE" w14:textId="77777777" w:rsidR="00612EBF" w:rsidRDefault="000E1318" w:rsidP="000E1318">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T</w:t>
      </w:r>
      <w:r w:rsidRPr="00B60D55">
        <w:rPr>
          <w:rFonts w:ascii="Times New Roman" w:eastAsia="Calibri" w:hAnsi="Times New Roman" w:cs="Times New Roman"/>
          <w:color w:val="000000"/>
        </w:rPr>
        <w:t xml:space="preserve">he Court of Appeals correctly held that, in the context of a non-consumer loan, the borrower has the burden to show that the default interest charge does not bear a “reasonable relationship” to the lender’s expected loss  Yet, instead of then analyzing whether </w:t>
      </w:r>
      <w:proofErr w:type="spellStart"/>
      <w:r w:rsidRPr="00B60D55">
        <w:rPr>
          <w:rFonts w:ascii="Times New Roman" w:eastAsia="Calibri" w:hAnsi="Times New Roman" w:cs="Times New Roman"/>
          <w:color w:val="000000"/>
        </w:rPr>
        <w:t>Honchariw</w:t>
      </w:r>
      <w:proofErr w:type="spellEnd"/>
      <w:r w:rsidRPr="00B60D55">
        <w:rPr>
          <w:rFonts w:ascii="Times New Roman" w:eastAsia="Calibri" w:hAnsi="Times New Roman" w:cs="Times New Roman"/>
          <w:color w:val="000000"/>
        </w:rPr>
        <w:t xml:space="preserve"> met this burden, the Court of Appeals summarily concluded that the mere fact of charging default interest on the entire unpaid principal balance following a payment default is, de facto, a violation of California </w:t>
      </w:r>
      <w:r w:rsidRPr="00B60D55">
        <w:rPr>
          <w:rFonts w:ascii="Times New Roman" w:eastAsia="Calibri" w:hAnsi="Times New Roman" w:cs="Times New Roman"/>
          <w:i/>
          <w:iCs/>
          <w:color w:val="000000"/>
        </w:rPr>
        <w:t>Civil Code</w:t>
      </w:r>
      <w:r w:rsidRPr="00B60D55">
        <w:rPr>
          <w:rFonts w:ascii="Times New Roman" w:eastAsia="Calibri" w:hAnsi="Times New Roman" w:cs="Times New Roman"/>
          <w:color w:val="000000"/>
        </w:rPr>
        <w:t xml:space="preserve"> § 1671. </w:t>
      </w:r>
      <w:r>
        <w:rPr>
          <w:rFonts w:ascii="Times New Roman" w:eastAsia="Calibri" w:hAnsi="Times New Roman" w:cs="Times New Roman"/>
          <w:color w:val="000000"/>
        </w:rPr>
        <w:t xml:space="preserve">As the California Law Revision Commission stated in their commentary on the 1977 amendment to </w:t>
      </w:r>
      <w:r w:rsidRPr="00B60D55">
        <w:rPr>
          <w:rFonts w:ascii="Times New Roman" w:eastAsia="Calibri" w:hAnsi="Times New Roman" w:cs="Times New Roman"/>
          <w:color w:val="000000"/>
        </w:rPr>
        <w:t>§ 1671</w:t>
      </w:r>
      <w:r>
        <w:rPr>
          <w:rFonts w:ascii="Times New Roman" w:eastAsia="Calibri" w:hAnsi="Times New Roman" w:cs="Times New Roman"/>
          <w:color w:val="000000"/>
        </w:rPr>
        <w:t>, “</w:t>
      </w:r>
      <w:r w:rsidRPr="000E1318">
        <w:rPr>
          <w:rFonts w:ascii="Times New Roman" w:eastAsia="Calibri" w:hAnsi="Times New Roman" w:cs="Times New Roman"/>
          <w:i/>
          <w:iCs/>
          <w:color w:val="000000"/>
        </w:rPr>
        <w:t xml:space="preserve">All </w:t>
      </w:r>
      <w:r>
        <w:rPr>
          <w:rFonts w:ascii="Times New Roman" w:eastAsia="Calibri" w:hAnsi="Times New Roman" w:cs="Times New Roman"/>
          <w:color w:val="000000"/>
        </w:rPr>
        <w:t xml:space="preserve">circumstances existing at the time of the making of a contract” should be considered when determining whether a liquidated damages provision in a </w:t>
      </w:r>
      <w:proofErr w:type="spellStart"/>
      <w:r>
        <w:rPr>
          <w:rFonts w:ascii="Times New Roman" w:eastAsia="Calibri" w:hAnsi="Times New Roman" w:cs="Times New Roman"/>
          <w:color w:val="000000"/>
        </w:rPr>
        <w:t>nonconsumer</w:t>
      </w:r>
      <w:proofErr w:type="spellEnd"/>
      <w:r>
        <w:rPr>
          <w:rFonts w:ascii="Times New Roman" w:eastAsia="Calibri" w:hAnsi="Times New Roman" w:cs="Times New Roman"/>
          <w:color w:val="000000"/>
        </w:rPr>
        <w:t xml:space="preserve"> contract is unreasonable.  </w:t>
      </w:r>
    </w:p>
    <w:p w14:paraId="26B5DEF6" w14:textId="77777777" w:rsidR="00612EBF" w:rsidRDefault="00612EBF" w:rsidP="000E1318">
      <w:pPr>
        <w:spacing w:after="0" w:line="240" w:lineRule="auto"/>
        <w:rPr>
          <w:rFonts w:ascii="Times New Roman" w:eastAsia="Calibri" w:hAnsi="Times New Roman" w:cs="Times New Roman"/>
          <w:color w:val="000000"/>
        </w:rPr>
      </w:pPr>
    </w:p>
    <w:p w14:paraId="14920BA0" w14:textId="3197C6E4" w:rsidR="000E1318" w:rsidRDefault="000E1318" w:rsidP="000E1318">
      <w:pPr>
        <w:spacing w:after="0" w:line="240" w:lineRule="auto"/>
        <w:rPr>
          <w:rFonts w:ascii="Times New Roman" w:eastAsia="Calibri" w:hAnsi="Times New Roman" w:cs="Times New Roman"/>
        </w:rPr>
      </w:pPr>
      <w:r w:rsidRPr="00B60D55">
        <w:rPr>
          <w:rFonts w:ascii="Times New Roman" w:eastAsia="Calibri" w:hAnsi="Times New Roman" w:cs="Times New Roman"/>
          <w:color w:val="000000"/>
        </w:rPr>
        <w:t>We believe the case is an incorrect interpretation of both statutory and common law in California.  We also believe it contradicts other established lending precedent elsewhere in the country.</w:t>
      </w:r>
    </w:p>
    <w:p w14:paraId="643FC262" w14:textId="77777777" w:rsidR="000E1318" w:rsidRPr="00591818" w:rsidRDefault="000E1318" w:rsidP="00B60D55">
      <w:pPr>
        <w:spacing w:after="0" w:line="240" w:lineRule="auto"/>
        <w:jc w:val="center"/>
        <w:rPr>
          <w:rFonts w:ascii="Times New Roman" w:eastAsia="Calibri" w:hAnsi="Times New Roman" w:cs="Times New Roman"/>
        </w:rPr>
      </w:pPr>
    </w:p>
    <w:p w14:paraId="373E116C" w14:textId="77777777" w:rsidR="007D18CC" w:rsidRPr="00324703" w:rsidRDefault="007D18CC" w:rsidP="00543FA2">
      <w:pPr>
        <w:spacing w:after="0" w:line="240" w:lineRule="auto"/>
        <w:rPr>
          <w:rFonts w:ascii="Times New Roman" w:hAnsi="Times New Roman" w:cs="Times New Roman"/>
        </w:rPr>
      </w:pPr>
    </w:p>
    <w:p w14:paraId="09987177" w14:textId="00464553" w:rsidR="00D476C2" w:rsidRDefault="005A2320" w:rsidP="00543FA2">
      <w:pPr>
        <w:spacing w:after="0" w:line="240" w:lineRule="auto"/>
        <w:rPr>
          <w:rFonts w:ascii="Times New Roman" w:hAnsi="Times New Roman" w:cs="Times New Roman"/>
        </w:rPr>
      </w:pPr>
      <w:r>
        <w:rPr>
          <w:rFonts w:ascii="Times New Roman" w:hAnsi="Times New Roman" w:cs="Times New Roman"/>
        </w:rPr>
        <w:t>Sincerely,</w:t>
      </w:r>
    </w:p>
    <w:p w14:paraId="22DE3AD9" w14:textId="42846B6D" w:rsidR="005A2320" w:rsidRDefault="005A2320" w:rsidP="00543FA2">
      <w:pPr>
        <w:spacing w:after="0" w:line="240" w:lineRule="auto"/>
        <w:rPr>
          <w:rFonts w:ascii="Times New Roman" w:hAnsi="Times New Roman" w:cs="Times New Roman"/>
        </w:rPr>
      </w:pPr>
    </w:p>
    <w:p w14:paraId="6D1A1F98" w14:textId="1E3AF2BF" w:rsidR="005A2320" w:rsidRDefault="005A2320" w:rsidP="00543FA2">
      <w:pPr>
        <w:spacing w:after="0" w:line="240" w:lineRule="auto"/>
        <w:rPr>
          <w:rFonts w:ascii="Times New Roman" w:hAnsi="Times New Roman" w:cs="Times New Roman"/>
        </w:rPr>
      </w:pPr>
    </w:p>
    <w:p w14:paraId="567F4BD9" w14:textId="6C8DA217" w:rsidR="005A2320" w:rsidRDefault="005A2320" w:rsidP="00543FA2">
      <w:pPr>
        <w:spacing w:after="0" w:line="240" w:lineRule="auto"/>
        <w:rPr>
          <w:rFonts w:ascii="Times New Roman" w:hAnsi="Times New Roman" w:cs="Times New Roman"/>
        </w:rPr>
      </w:pPr>
    </w:p>
    <w:p w14:paraId="10903987" w14:textId="07FBBC8C" w:rsidR="005A2320" w:rsidRDefault="005A2320" w:rsidP="00543FA2">
      <w:pPr>
        <w:spacing w:after="0" w:line="240" w:lineRule="auto"/>
        <w:rPr>
          <w:rFonts w:ascii="Times New Roman" w:hAnsi="Times New Roman" w:cs="Times New Roman"/>
        </w:rPr>
      </w:pPr>
    </w:p>
    <w:p w14:paraId="5F7D0BCB" w14:textId="02B8837E" w:rsidR="005A2320" w:rsidRPr="000E1318" w:rsidRDefault="005A2320" w:rsidP="00543FA2">
      <w:pPr>
        <w:spacing w:after="0" w:line="240" w:lineRule="auto"/>
        <w:rPr>
          <w:rFonts w:ascii="Times New Roman" w:hAnsi="Times New Roman" w:cs="Times New Roman"/>
          <w:highlight w:val="yellow"/>
        </w:rPr>
      </w:pPr>
      <w:r w:rsidRPr="000E1318">
        <w:rPr>
          <w:rFonts w:ascii="Times New Roman" w:hAnsi="Times New Roman" w:cs="Times New Roman"/>
          <w:highlight w:val="yellow"/>
        </w:rPr>
        <w:t>[Name]</w:t>
      </w:r>
    </w:p>
    <w:p w14:paraId="7B99352A" w14:textId="284CE7F8" w:rsidR="005A2320" w:rsidRPr="000E1318" w:rsidRDefault="005A2320" w:rsidP="00543FA2">
      <w:pPr>
        <w:spacing w:after="0" w:line="240" w:lineRule="auto"/>
        <w:rPr>
          <w:rFonts w:ascii="Times New Roman" w:hAnsi="Times New Roman" w:cs="Times New Roman"/>
          <w:highlight w:val="yellow"/>
        </w:rPr>
      </w:pPr>
      <w:r w:rsidRPr="000E1318">
        <w:rPr>
          <w:rFonts w:ascii="Times New Roman" w:hAnsi="Times New Roman" w:cs="Times New Roman"/>
          <w:highlight w:val="yellow"/>
        </w:rPr>
        <w:t>[Address]</w:t>
      </w:r>
    </w:p>
    <w:p w14:paraId="296BD54F" w14:textId="73239D2F" w:rsidR="005A2320" w:rsidRPr="000E1318" w:rsidRDefault="005A2320" w:rsidP="00543FA2">
      <w:pPr>
        <w:spacing w:after="0" w:line="240" w:lineRule="auto"/>
        <w:rPr>
          <w:rFonts w:ascii="Times New Roman" w:hAnsi="Times New Roman" w:cs="Times New Roman"/>
          <w:highlight w:val="yellow"/>
        </w:rPr>
      </w:pPr>
      <w:r w:rsidRPr="000E1318">
        <w:rPr>
          <w:rFonts w:ascii="Times New Roman" w:hAnsi="Times New Roman" w:cs="Times New Roman"/>
          <w:highlight w:val="yellow"/>
        </w:rPr>
        <w:t>[Ci</w:t>
      </w:r>
      <w:r w:rsidR="00F10615" w:rsidRPr="000E1318">
        <w:rPr>
          <w:rFonts w:ascii="Times New Roman" w:hAnsi="Times New Roman" w:cs="Times New Roman"/>
          <w:highlight w:val="yellow"/>
        </w:rPr>
        <w:t>ty, State and Zip]</w:t>
      </w:r>
    </w:p>
    <w:p w14:paraId="3851FC9A" w14:textId="3C3E99F1" w:rsidR="00F10615" w:rsidRPr="000E1318" w:rsidRDefault="00F10615" w:rsidP="00543FA2">
      <w:pPr>
        <w:spacing w:after="0" w:line="240" w:lineRule="auto"/>
        <w:rPr>
          <w:rFonts w:ascii="Times New Roman" w:hAnsi="Times New Roman" w:cs="Times New Roman"/>
          <w:highlight w:val="yellow"/>
        </w:rPr>
      </w:pPr>
      <w:r w:rsidRPr="000E1318">
        <w:rPr>
          <w:rFonts w:ascii="Times New Roman" w:hAnsi="Times New Roman" w:cs="Times New Roman"/>
          <w:highlight w:val="yellow"/>
        </w:rPr>
        <w:t>[Phone Number]</w:t>
      </w:r>
    </w:p>
    <w:p w14:paraId="48A4977B" w14:textId="2C11337F" w:rsidR="00F10615" w:rsidRPr="00324703" w:rsidRDefault="00F10615" w:rsidP="00543FA2">
      <w:pPr>
        <w:spacing w:after="0" w:line="240" w:lineRule="auto"/>
        <w:rPr>
          <w:rFonts w:ascii="Times New Roman" w:hAnsi="Times New Roman" w:cs="Times New Roman"/>
        </w:rPr>
      </w:pPr>
      <w:r w:rsidRPr="000E1318">
        <w:rPr>
          <w:rFonts w:ascii="Times New Roman" w:hAnsi="Times New Roman" w:cs="Times New Roman"/>
          <w:highlight w:val="yellow"/>
        </w:rPr>
        <w:t>[Email Address]</w:t>
      </w:r>
    </w:p>
    <w:sectPr w:rsidR="00F10615" w:rsidRPr="0032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C67ED"/>
    <w:multiLevelType w:val="hybridMultilevel"/>
    <w:tmpl w:val="5B9AB476"/>
    <w:lvl w:ilvl="0" w:tplc="5F3042E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C9571B"/>
    <w:multiLevelType w:val="hybridMultilevel"/>
    <w:tmpl w:val="FA22971E"/>
    <w:lvl w:ilvl="0" w:tplc="D130AE5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2777856">
    <w:abstractNumId w:val="0"/>
  </w:num>
  <w:num w:numId="2" w16cid:durableId="103037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CC"/>
    <w:rsid w:val="000714BF"/>
    <w:rsid w:val="00091FCD"/>
    <w:rsid w:val="000A68E0"/>
    <w:rsid w:val="000C3A76"/>
    <w:rsid w:val="000D04F1"/>
    <w:rsid w:val="000D091E"/>
    <w:rsid w:val="000E1318"/>
    <w:rsid w:val="000E3689"/>
    <w:rsid w:val="000E6D28"/>
    <w:rsid w:val="001052FB"/>
    <w:rsid w:val="00113A88"/>
    <w:rsid w:val="00132651"/>
    <w:rsid w:val="00135DD9"/>
    <w:rsid w:val="00157439"/>
    <w:rsid w:val="00165C07"/>
    <w:rsid w:val="00170EE8"/>
    <w:rsid w:val="001A1AC2"/>
    <w:rsid w:val="001F2BEB"/>
    <w:rsid w:val="00241F4D"/>
    <w:rsid w:val="00243CA4"/>
    <w:rsid w:val="002A5CAD"/>
    <w:rsid w:val="002C13D1"/>
    <w:rsid w:val="002D31AC"/>
    <w:rsid w:val="002F14FD"/>
    <w:rsid w:val="002F4625"/>
    <w:rsid w:val="00324703"/>
    <w:rsid w:val="003318CB"/>
    <w:rsid w:val="003A5108"/>
    <w:rsid w:val="003C7557"/>
    <w:rsid w:val="003D18F0"/>
    <w:rsid w:val="003E402A"/>
    <w:rsid w:val="00437D3F"/>
    <w:rsid w:val="0048300F"/>
    <w:rsid w:val="00494072"/>
    <w:rsid w:val="004955D1"/>
    <w:rsid w:val="004C6318"/>
    <w:rsid w:val="004D0EB8"/>
    <w:rsid w:val="004E5A1F"/>
    <w:rsid w:val="004E62F5"/>
    <w:rsid w:val="004F4808"/>
    <w:rsid w:val="00543FA2"/>
    <w:rsid w:val="00591818"/>
    <w:rsid w:val="00593663"/>
    <w:rsid w:val="005A15EF"/>
    <w:rsid w:val="005A2320"/>
    <w:rsid w:val="005A5FC7"/>
    <w:rsid w:val="005C07AB"/>
    <w:rsid w:val="005C2F29"/>
    <w:rsid w:val="00612EBF"/>
    <w:rsid w:val="006371D5"/>
    <w:rsid w:val="00646D8F"/>
    <w:rsid w:val="00662530"/>
    <w:rsid w:val="00666BB2"/>
    <w:rsid w:val="006974F8"/>
    <w:rsid w:val="006D50AC"/>
    <w:rsid w:val="00715883"/>
    <w:rsid w:val="00720B8C"/>
    <w:rsid w:val="007262FB"/>
    <w:rsid w:val="00745DAB"/>
    <w:rsid w:val="00755345"/>
    <w:rsid w:val="0075790D"/>
    <w:rsid w:val="00780D65"/>
    <w:rsid w:val="007871D9"/>
    <w:rsid w:val="00787ABA"/>
    <w:rsid w:val="00791339"/>
    <w:rsid w:val="007A5210"/>
    <w:rsid w:val="007D18CC"/>
    <w:rsid w:val="007E1768"/>
    <w:rsid w:val="007F0D21"/>
    <w:rsid w:val="00800D5A"/>
    <w:rsid w:val="0082318B"/>
    <w:rsid w:val="008A37EF"/>
    <w:rsid w:val="008A5B4D"/>
    <w:rsid w:val="008D33B8"/>
    <w:rsid w:val="008D4D42"/>
    <w:rsid w:val="0091678C"/>
    <w:rsid w:val="0094424A"/>
    <w:rsid w:val="00956555"/>
    <w:rsid w:val="00970B34"/>
    <w:rsid w:val="00972136"/>
    <w:rsid w:val="00980091"/>
    <w:rsid w:val="00981145"/>
    <w:rsid w:val="009A278D"/>
    <w:rsid w:val="009A3088"/>
    <w:rsid w:val="009B68E9"/>
    <w:rsid w:val="009E1DA8"/>
    <w:rsid w:val="00A03B2D"/>
    <w:rsid w:val="00A1656C"/>
    <w:rsid w:val="00A40085"/>
    <w:rsid w:val="00A425E5"/>
    <w:rsid w:val="00A4476C"/>
    <w:rsid w:val="00A659A3"/>
    <w:rsid w:val="00A67EAF"/>
    <w:rsid w:val="00AB3078"/>
    <w:rsid w:val="00AF3011"/>
    <w:rsid w:val="00AF778A"/>
    <w:rsid w:val="00B05143"/>
    <w:rsid w:val="00B54DAB"/>
    <w:rsid w:val="00B60D55"/>
    <w:rsid w:val="00B726D1"/>
    <w:rsid w:val="00B77E2C"/>
    <w:rsid w:val="00BA389C"/>
    <w:rsid w:val="00BB277E"/>
    <w:rsid w:val="00BD0AAC"/>
    <w:rsid w:val="00BD3E1C"/>
    <w:rsid w:val="00BD6528"/>
    <w:rsid w:val="00BD6D8F"/>
    <w:rsid w:val="00BE2909"/>
    <w:rsid w:val="00C13644"/>
    <w:rsid w:val="00C16E74"/>
    <w:rsid w:val="00C32406"/>
    <w:rsid w:val="00C33C9D"/>
    <w:rsid w:val="00C34773"/>
    <w:rsid w:val="00C41EDE"/>
    <w:rsid w:val="00C52DED"/>
    <w:rsid w:val="00C722CA"/>
    <w:rsid w:val="00CA6793"/>
    <w:rsid w:val="00CC6B4D"/>
    <w:rsid w:val="00CE6988"/>
    <w:rsid w:val="00D17D76"/>
    <w:rsid w:val="00D25DE0"/>
    <w:rsid w:val="00D3443F"/>
    <w:rsid w:val="00D56BCD"/>
    <w:rsid w:val="00D82ECD"/>
    <w:rsid w:val="00DA315C"/>
    <w:rsid w:val="00DC4F22"/>
    <w:rsid w:val="00DE5FDA"/>
    <w:rsid w:val="00E0773B"/>
    <w:rsid w:val="00E11585"/>
    <w:rsid w:val="00E11F05"/>
    <w:rsid w:val="00E5502B"/>
    <w:rsid w:val="00E62441"/>
    <w:rsid w:val="00E95CC4"/>
    <w:rsid w:val="00ED1427"/>
    <w:rsid w:val="00F10615"/>
    <w:rsid w:val="00F231CB"/>
    <w:rsid w:val="00F25955"/>
    <w:rsid w:val="00F32498"/>
    <w:rsid w:val="00F5353C"/>
    <w:rsid w:val="00F65AB4"/>
    <w:rsid w:val="00F74BEE"/>
    <w:rsid w:val="00F75FD3"/>
    <w:rsid w:val="00FA6363"/>
    <w:rsid w:val="00FB5015"/>
    <w:rsid w:val="00FD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453C"/>
  <w15:chartTrackingRefBased/>
  <w15:docId w15:val="{8FAA882D-71FF-4DFB-9A2A-2D5C37C2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B2D"/>
    <w:pPr>
      <w:ind w:left="720"/>
      <w:contextualSpacing/>
    </w:pPr>
  </w:style>
  <w:style w:type="paragraph" w:styleId="BalloonText">
    <w:name w:val="Balloon Text"/>
    <w:basedOn w:val="Normal"/>
    <w:link w:val="BalloonTextChar"/>
    <w:uiPriority w:val="99"/>
    <w:semiHidden/>
    <w:unhideWhenUsed/>
    <w:rsid w:val="00CE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988"/>
    <w:rPr>
      <w:rFonts w:ascii="Segoe UI" w:hAnsi="Segoe UI" w:cs="Segoe UI"/>
      <w:sz w:val="18"/>
      <w:szCs w:val="18"/>
    </w:rPr>
  </w:style>
  <w:style w:type="character" w:styleId="CommentReference">
    <w:name w:val="annotation reference"/>
    <w:basedOn w:val="DefaultParagraphFont"/>
    <w:uiPriority w:val="99"/>
    <w:semiHidden/>
    <w:unhideWhenUsed/>
    <w:rsid w:val="00BD6D8F"/>
    <w:rPr>
      <w:sz w:val="16"/>
      <w:szCs w:val="16"/>
    </w:rPr>
  </w:style>
  <w:style w:type="paragraph" w:styleId="CommentText">
    <w:name w:val="annotation text"/>
    <w:basedOn w:val="Normal"/>
    <w:link w:val="CommentTextChar"/>
    <w:uiPriority w:val="99"/>
    <w:unhideWhenUsed/>
    <w:rsid w:val="00BD6D8F"/>
    <w:pPr>
      <w:spacing w:line="240" w:lineRule="auto"/>
    </w:pPr>
    <w:rPr>
      <w:sz w:val="20"/>
      <w:szCs w:val="20"/>
    </w:rPr>
  </w:style>
  <w:style w:type="character" w:customStyle="1" w:styleId="CommentTextChar">
    <w:name w:val="Comment Text Char"/>
    <w:basedOn w:val="DefaultParagraphFont"/>
    <w:link w:val="CommentText"/>
    <w:uiPriority w:val="99"/>
    <w:rsid w:val="00BD6D8F"/>
    <w:rPr>
      <w:sz w:val="20"/>
      <w:szCs w:val="20"/>
    </w:rPr>
  </w:style>
  <w:style w:type="paragraph" w:styleId="CommentSubject">
    <w:name w:val="annotation subject"/>
    <w:basedOn w:val="CommentText"/>
    <w:next w:val="CommentText"/>
    <w:link w:val="CommentSubjectChar"/>
    <w:uiPriority w:val="99"/>
    <w:semiHidden/>
    <w:unhideWhenUsed/>
    <w:rsid w:val="00BD6D8F"/>
    <w:rPr>
      <w:b/>
      <w:bCs/>
    </w:rPr>
  </w:style>
  <w:style w:type="character" w:customStyle="1" w:styleId="CommentSubjectChar">
    <w:name w:val="Comment Subject Char"/>
    <w:basedOn w:val="CommentTextChar"/>
    <w:link w:val="CommentSubject"/>
    <w:uiPriority w:val="99"/>
    <w:semiHidden/>
    <w:rsid w:val="00BD6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618">
      <w:bodyDiv w:val="1"/>
      <w:marLeft w:val="0"/>
      <w:marRight w:val="0"/>
      <w:marTop w:val="0"/>
      <w:marBottom w:val="0"/>
      <w:divBdr>
        <w:top w:val="none" w:sz="0" w:space="0" w:color="auto"/>
        <w:left w:val="none" w:sz="0" w:space="0" w:color="auto"/>
        <w:bottom w:val="none" w:sz="0" w:space="0" w:color="auto"/>
        <w:right w:val="none" w:sz="0" w:space="0" w:color="auto"/>
      </w:divBdr>
    </w:div>
    <w:div w:id="4825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4400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Hajda</dc:creator>
  <cp:keywords/>
  <dc:description/>
  <cp:lastModifiedBy>Nema Daghbandan</cp:lastModifiedBy>
  <cp:revision>2</cp:revision>
  <dcterms:created xsi:type="dcterms:W3CDTF">2022-12-14T22:44:00Z</dcterms:created>
  <dcterms:modified xsi:type="dcterms:W3CDTF">2022-12-14T22:44:00Z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